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A634" w14:textId="77777777" w:rsidR="004E391A" w:rsidRDefault="00266D33">
      <w:pPr>
        <w:pStyle w:val="Title"/>
        <w:shd w:val="clear" w:color="auto" w:fill="FFFFFF"/>
        <w:spacing w:after="0" w:line="360" w:lineRule="auto"/>
        <w:jc w:val="center"/>
        <w:rPr>
          <w:color w:val="6FA8DC"/>
          <w:sz w:val="30"/>
          <w:szCs w:val="30"/>
        </w:rPr>
      </w:pPr>
      <w:bookmarkStart w:id="0" w:name="_heading=h.9pmb1b6em2ec" w:colFirst="0" w:colLast="0"/>
      <w:bookmarkEnd w:id="0"/>
      <w:r>
        <w:rPr>
          <w:color w:val="6FA8DC"/>
          <w:sz w:val="30"/>
          <w:szCs w:val="30"/>
        </w:rPr>
        <w:t xml:space="preserve">Special Event on reducing inequalities and implementing human </w:t>
      </w:r>
      <w:proofErr w:type="gramStart"/>
      <w:r>
        <w:rPr>
          <w:color w:val="6FA8DC"/>
          <w:sz w:val="30"/>
          <w:szCs w:val="30"/>
        </w:rPr>
        <w:t>rights</w:t>
      </w:r>
      <w:proofErr w:type="gramEnd"/>
    </w:p>
    <w:p w14:paraId="42C1A635" w14:textId="77777777" w:rsidR="004E391A" w:rsidRDefault="004E391A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2C1A636" w14:textId="77777777" w:rsidR="004E391A" w:rsidRDefault="00266D3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Rapporteur’s name</w:t>
      </w:r>
      <w:r>
        <w:rPr>
          <w:rFonts w:ascii="Arial" w:eastAsia="Arial" w:hAnsi="Arial" w:cs="Arial"/>
          <w:i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Hadi Toure Guindo and Farokh Kakar</w:t>
      </w:r>
    </w:p>
    <w:p w14:paraId="42C1A637" w14:textId="77777777" w:rsidR="004E391A" w:rsidRDefault="00266D33">
      <w:pPr>
        <w:spacing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Rapporteur’s nationality</w:t>
      </w:r>
      <w:r>
        <w:rPr>
          <w:rFonts w:ascii="Arial" w:eastAsia="Arial" w:hAnsi="Arial" w:cs="Arial"/>
          <w:i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Mali and Canada</w:t>
      </w:r>
    </w:p>
    <w:p w14:paraId="42C1A638" w14:textId="77777777" w:rsidR="004E391A" w:rsidRDefault="004E391A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2C1A639" w14:textId="77777777" w:rsidR="004E391A" w:rsidRDefault="00266D33">
      <w:pPr>
        <w:spacing w:line="360" w:lineRule="auto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Title of session</w:t>
      </w:r>
      <w:r>
        <w:rPr>
          <w:rFonts w:ascii="Arial" w:eastAsia="Arial" w:hAnsi="Arial" w:cs="Arial"/>
          <w:sz w:val="24"/>
          <w:szCs w:val="24"/>
        </w:rPr>
        <w:t>: Special Event on reducing inequalities and implementing human rights</w:t>
      </w:r>
    </w:p>
    <w:p w14:paraId="42C1A63A" w14:textId="77777777" w:rsidR="004E391A" w:rsidRDefault="00266D3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Number of attendees</w:t>
      </w:r>
      <w:r>
        <w:rPr>
          <w:rFonts w:ascii="Arial" w:eastAsia="Arial" w:hAnsi="Arial" w:cs="Arial"/>
          <w:sz w:val="24"/>
          <w:szCs w:val="24"/>
        </w:rPr>
        <w:t>: more than 100</w:t>
      </w:r>
    </w:p>
    <w:p w14:paraId="42C1A63B" w14:textId="77777777" w:rsidR="004E391A" w:rsidRDefault="00266D3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Date and Location:</w:t>
      </w:r>
      <w:r>
        <w:rPr>
          <w:rFonts w:ascii="Arial" w:eastAsia="Arial" w:hAnsi="Arial" w:cs="Arial"/>
          <w:sz w:val="24"/>
          <w:szCs w:val="24"/>
        </w:rPr>
        <w:t xml:space="preserve"> March 23</w:t>
      </w:r>
      <w:r>
        <w:rPr>
          <w:rFonts w:ascii="Arial" w:eastAsia="Arial" w:hAnsi="Arial" w:cs="Arial"/>
          <w:sz w:val="24"/>
          <w:szCs w:val="24"/>
          <w:vertAlign w:val="superscript"/>
        </w:rPr>
        <w:t>rd</w:t>
      </w:r>
      <w:r>
        <w:rPr>
          <w:rFonts w:ascii="Arial" w:eastAsia="Arial" w:hAnsi="Arial" w:cs="Arial"/>
          <w:sz w:val="24"/>
          <w:szCs w:val="24"/>
        </w:rPr>
        <w:t>, Conference Room 2, UN HQ</w:t>
      </w:r>
    </w:p>
    <w:p w14:paraId="42C1A63C" w14:textId="77777777" w:rsidR="004E391A" w:rsidRDefault="004E391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42C1A63D" w14:textId="77777777" w:rsidR="004E391A" w:rsidRDefault="00266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Objective(s) of session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42C1A63E" w14:textId="77777777" w:rsidR="004E391A" w:rsidRDefault="00266D3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overall objective was to demonstrate to member states and decision-makers the importance of prioritising the reduction of inequalities to achieve SDG6 and other SDGs through inclusive collaboration, implementing human rights-based approaches, integrate</w:t>
      </w:r>
      <w:r>
        <w:rPr>
          <w:rFonts w:ascii="Arial" w:eastAsia="Arial" w:hAnsi="Arial" w:cs="Arial"/>
          <w:sz w:val="24"/>
          <w:szCs w:val="24"/>
        </w:rPr>
        <w:t>d water resources, and community-based governance and management.</w:t>
      </w:r>
    </w:p>
    <w:p w14:paraId="42C1A63F" w14:textId="77777777" w:rsidR="004E391A" w:rsidRDefault="00266D3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2- Key point(s)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42C1A640" w14:textId="77777777" w:rsidR="004E391A" w:rsidRDefault="00266D33">
      <w:pPr>
        <w:spacing w:line="240" w:lineRule="auto"/>
        <w:rPr>
          <w:rFonts w:ascii="Arial" w:eastAsia="Arial" w:hAnsi="Arial" w:cs="Arial"/>
          <w:i/>
          <w:color w:val="00B0F0"/>
          <w:sz w:val="24"/>
          <w:szCs w:val="24"/>
        </w:rPr>
      </w:pPr>
      <w:r>
        <w:rPr>
          <w:rFonts w:ascii="Arial" w:eastAsia="Arial" w:hAnsi="Arial" w:cs="Arial"/>
          <w:i/>
          <w:color w:val="00B0F0"/>
          <w:sz w:val="24"/>
          <w:szCs w:val="24"/>
        </w:rPr>
        <w:t>Current problem.</w:t>
      </w:r>
    </w:p>
    <w:p w14:paraId="42C1A641" w14:textId="77777777" w:rsidR="004E391A" w:rsidRDefault="00266D3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Indigenous people make up 5% of the world's population but they protect more than 80% of the world’s resources and biodiversity.</w:t>
      </w:r>
    </w:p>
    <w:p w14:paraId="42C1A642" w14:textId="77777777" w:rsidR="004E391A" w:rsidRDefault="00266D33">
      <w:pPr>
        <w:spacing w:line="240" w:lineRule="auto"/>
        <w:rPr>
          <w:rFonts w:ascii="Arial" w:eastAsia="Arial" w:hAnsi="Arial" w:cs="Arial"/>
          <w:i/>
          <w:color w:val="00B0F0"/>
          <w:sz w:val="24"/>
          <w:szCs w:val="24"/>
        </w:rPr>
      </w:pPr>
      <w:r>
        <w:rPr>
          <w:rFonts w:ascii="Arial" w:eastAsia="Arial" w:hAnsi="Arial" w:cs="Arial"/>
          <w:i/>
          <w:color w:val="00B0F0"/>
          <w:sz w:val="24"/>
          <w:szCs w:val="24"/>
        </w:rPr>
        <w:t>Potential consequences and</w:t>
      </w:r>
      <w:r>
        <w:rPr>
          <w:rFonts w:ascii="Arial" w:eastAsia="Arial" w:hAnsi="Arial" w:cs="Arial"/>
          <w:i/>
          <w:color w:val="00B0F0"/>
          <w:sz w:val="24"/>
          <w:szCs w:val="24"/>
        </w:rPr>
        <w:t xml:space="preserve"> impacts.</w:t>
      </w:r>
    </w:p>
    <w:p w14:paraId="42C1A643" w14:textId="77777777" w:rsidR="004E391A" w:rsidRDefault="00266D3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Natural disasters are due to mismanagement and not including indigenous in decision </w:t>
      </w:r>
      <w:proofErr w:type="gramStart"/>
      <w:r>
        <w:rPr>
          <w:rFonts w:ascii="Arial" w:eastAsia="Arial" w:hAnsi="Arial" w:cs="Arial"/>
          <w:sz w:val="24"/>
          <w:szCs w:val="24"/>
        </w:rPr>
        <w:t>making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2C1A644" w14:textId="77777777" w:rsidR="004E391A" w:rsidRDefault="00266D33">
      <w:pPr>
        <w:spacing w:line="240" w:lineRule="auto"/>
        <w:rPr>
          <w:rFonts w:ascii="Arial" w:eastAsia="Arial" w:hAnsi="Arial" w:cs="Arial"/>
          <w:i/>
          <w:color w:val="00B0F0"/>
          <w:sz w:val="24"/>
          <w:szCs w:val="24"/>
        </w:rPr>
      </w:pPr>
      <w:r>
        <w:rPr>
          <w:rFonts w:ascii="Arial" w:eastAsia="Arial" w:hAnsi="Arial" w:cs="Arial"/>
          <w:i/>
          <w:color w:val="00B0F0"/>
          <w:sz w:val="24"/>
          <w:szCs w:val="24"/>
        </w:rPr>
        <w:t>Importance of the topic.</w:t>
      </w:r>
    </w:p>
    <w:p w14:paraId="42C1A645" w14:textId="77777777" w:rsidR="004E391A" w:rsidRDefault="00266D3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High importance at a different level.</w:t>
      </w:r>
    </w:p>
    <w:p w14:paraId="42C1A646" w14:textId="77777777" w:rsidR="004E391A" w:rsidRDefault="00266D33">
      <w:pPr>
        <w:spacing w:line="240" w:lineRule="auto"/>
        <w:rPr>
          <w:rFonts w:ascii="Arial" w:eastAsia="Arial" w:hAnsi="Arial" w:cs="Arial"/>
          <w:i/>
          <w:color w:val="00B0F0"/>
          <w:sz w:val="24"/>
          <w:szCs w:val="24"/>
        </w:rPr>
      </w:pPr>
      <w:r>
        <w:rPr>
          <w:rFonts w:ascii="Arial" w:eastAsia="Arial" w:hAnsi="Arial" w:cs="Arial"/>
          <w:i/>
          <w:color w:val="00B0F0"/>
          <w:sz w:val="24"/>
          <w:szCs w:val="24"/>
        </w:rPr>
        <w:t>Synergies and trade-offs with other topics.</w:t>
      </w:r>
    </w:p>
    <w:p w14:paraId="42C1A647" w14:textId="77777777" w:rsidR="004E391A" w:rsidRDefault="00266D3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Synergies with women and youth right</w:t>
      </w:r>
    </w:p>
    <w:p w14:paraId="42C1A648" w14:textId="77777777" w:rsidR="004E391A" w:rsidRDefault="004E391A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2C1A649" w14:textId="77777777" w:rsidR="004E391A" w:rsidRDefault="00266D3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3- Key Challenges: </w:t>
      </w:r>
    </w:p>
    <w:p w14:paraId="42C1A64A" w14:textId="77777777" w:rsidR="004E391A" w:rsidRDefault="00266D33">
      <w:pPr>
        <w:spacing w:line="240" w:lineRule="auto"/>
        <w:rPr>
          <w:rFonts w:ascii="Arial" w:eastAsia="Arial" w:hAnsi="Arial" w:cs="Arial"/>
          <w:i/>
          <w:color w:val="00B0F0"/>
          <w:sz w:val="24"/>
          <w:szCs w:val="24"/>
        </w:rPr>
      </w:pPr>
      <w:r>
        <w:rPr>
          <w:rFonts w:ascii="Arial" w:eastAsia="Arial" w:hAnsi="Arial" w:cs="Arial"/>
          <w:i/>
          <w:color w:val="00B0F0"/>
          <w:sz w:val="24"/>
          <w:szCs w:val="24"/>
        </w:rPr>
        <w:t>What are the knowledge gaps identified during the discussion?</w:t>
      </w:r>
    </w:p>
    <w:p w14:paraId="42C1A64B" w14:textId="77777777" w:rsidR="004E391A" w:rsidRDefault="0026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Billions of people don’t have safe drinking water and sanitation and the existing data is not accurate.</w:t>
      </w:r>
    </w:p>
    <w:p w14:paraId="42C1A64C" w14:textId="77777777" w:rsidR="004E391A" w:rsidRDefault="0026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Lack of sustainable governance and coalition </w:t>
      </w:r>
    </w:p>
    <w:p w14:paraId="42C1A64D" w14:textId="77777777" w:rsidR="004E391A" w:rsidRDefault="0026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Resistance of many states to recognize rights of indigenous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people</w:t>
      </w:r>
      <w:proofErr w:type="gramEnd"/>
    </w:p>
    <w:p w14:paraId="42C1A64E" w14:textId="77777777" w:rsidR="004E391A" w:rsidRDefault="00266D3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4- Key recommendations/solutions presented (key actions to address the problem)</w:t>
      </w:r>
      <w:r>
        <w:rPr>
          <w:rFonts w:ascii="Arial" w:eastAsia="Arial" w:hAnsi="Arial" w:cs="Arial"/>
          <w:sz w:val="24"/>
          <w:szCs w:val="24"/>
        </w:rPr>
        <w:t>:</w:t>
      </w:r>
    </w:p>
    <w:p w14:paraId="42C1A64F" w14:textId="77777777" w:rsidR="004E391A" w:rsidRDefault="00266D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More initiatives, partnerships to defend the rights of local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communities and indigenous peoples to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water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2C1A650" w14:textId="77777777" w:rsidR="004E391A" w:rsidRDefault="00266D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Solutions to water challenges should be people-oriented rather than profit-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based</w:t>
      </w:r>
      <w:proofErr w:type="gramEnd"/>
    </w:p>
    <w:p w14:paraId="42C1A651" w14:textId="77777777" w:rsidR="004E391A" w:rsidRDefault="00266D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Assessment tools and methodologies, multi-stakeholder alliances and partnerships, </w:t>
      </w:r>
      <w:r>
        <w:rPr>
          <w:rFonts w:ascii="Arial" w:eastAsia="Arial" w:hAnsi="Arial" w:cs="Arial"/>
          <w:sz w:val="24"/>
          <w:szCs w:val="24"/>
        </w:rPr>
        <w:t>and building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trust between different stakeholders are good examples and practices to </w:t>
      </w:r>
      <w:r>
        <w:rPr>
          <w:rFonts w:ascii="Arial" w:eastAsia="Arial" w:hAnsi="Arial" w:cs="Arial"/>
          <w:sz w:val="24"/>
          <w:szCs w:val="24"/>
        </w:rPr>
        <w:t>reduce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inequalities.</w:t>
      </w:r>
    </w:p>
    <w:p w14:paraId="42C1A652" w14:textId="77777777" w:rsidR="004E391A" w:rsidRDefault="00266D3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5- Quotes from speakers</w:t>
      </w:r>
      <w:r>
        <w:rPr>
          <w:rFonts w:ascii="Arial" w:eastAsia="Arial" w:hAnsi="Arial" w:cs="Arial"/>
          <w:sz w:val="24"/>
          <w:szCs w:val="24"/>
        </w:rPr>
        <w:t>:</w:t>
      </w:r>
    </w:p>
    <w:p w14:paraId="42C1A653" w14:textId="77777777" w:rsidR="004E391A" w:rsidRDefault="00266D3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“…governments have been denied public decis</w:t>
      </w:r>
      <w:r>
        <w:rPr>
          <w:rFonts w:ascii="Arial" w:eastAsia="Arial" w:hAnsi="Arial" w:cs="Arial"/>
          <w:i/>
          <w:sz w:val="24"/>
          <w:szCs w:val="24"/>
        </w:rPr>
        <w:t xml:space="preserve">ion space to make regulations to benefit the people, international institutions promote privatisation as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sustainable ;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it is not possible to make profit and service the public good, and private sector is made to make profit”-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Meera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Karunananthan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The Blue </w:t>
      </w:r>
      <w:r>
        <w:rPr>
          <w:rFonts w:ascii="Arial" w:eastAsia="Arial" w:hAnsi="Arial" w:cs="Arial"/>
          <w:sz w:val="24"/>
          <w:szCs w:val="24"/>
        </w:rPr>
        <w:t>planet Project</w:t>
      </w:r>
    </w:p>
    <w:p w14:paraId="42C1A654" w14:textId="77777777" w:rsidR="004E391A" w:rsidRDefault="00266D3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“Inequality is no longer bound to the rich-poor divide. If you don't fix inequality for social reason,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than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solve it for economic reasons.”-</w:t>
      </w:r>
      <w: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Aziza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Akhmouch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(on behalf of the OECD Water Governance Initiative)</w:t>
      </w:r>
    </w:p>
    <w:p w14:paraId="42C1A655" w14:textId="77777777" w:rsidR="004E391A" w:rsidRDefault="00266D3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“Get resources to communities to </w:t>
      </w:r>
      <w:r>
        <w:rPr>
          <w:rFonts w:ascii="Arial" w:eastAsia="Arial" w:hAnsi="Arial" w:cs="Arial"/>
          <w:i/>
          <w:sz w:val="24"/>
          <w:szCs w:val="24"/>
        </w:rPr>
        <w:t xml:space="preserve">dismantle the architecture of inequalities, decolonize aid”- </w:t>
      </w:r>
      <w:r>
        <w:rPr>
          <w:rFonts w:ascii="Arial" w:eastAsia="Arial" w:hAnsi="Arial" w:cs="Arial"/>
          <w:b/>
          <w:sz w:val="24"/>
          <w:szCs w:val="24"/>
        </w:rPr>
        <w:t>Alana potter</w:t>
      </w:r>
      <w:r>
        <w:rPr>
          <w:rFonts w:ascii="Arial" w:eastAsia="Arial" w:hAnsi="Arial" w:cs="Arial"/>
          <w:sz w:val="24"/>
          <w:szCs w:val="24"/>
        </w:rPr>
        <w:t xml:space="preserve">- Ending </w:t>
      </w:r>
      <w:proofErr w:type="gramStart"/>
      <w:r>
        <w:rPr>
          <w:rFonts w:ascii="Arial" w:eastAsia="Arial" w:hAnsi="Arial" w:cs="Arial"/>
          <w:sz w:val="24"/>
          <w:szCs w:val="24"/>
        </w:rPr>
        <w:t>poverty</w:t>
      </w:r>
      <w:proofErr w:type="gramEnd"/>
    </w:p>
    <w:p w14:paraId="42C1A656" w14:textId="77777777" w:rsidR="004E391A" w:rsidRDefault="00266D33">
      <w:pPr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“It is about consultation not consent. Consent, before making indigenous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displaced’’</w:t>
      </w:r>
      <w:proofErr w:type="gramEnd"/>
    </w:p>
    <w:p w14:paraId="42C1A657" w14:textId="77777777" w:rsidR="004E391A" w:rsidRDefault="00266D33">
      <w:pPr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“Assembly of first nation is committed that no first nation will be left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behind”</w:t>
      </w:r>
      <w:proofErr w:type="gramEnd"/>
    </w:p>
    <w:p w14:paraId="42C1A658" w14:textId="77777777" w:rsidR="004E391A" w:rsidRDefault="00266D33">
      <w:pPr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“Training for indigenous women is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essential”</w:t>
      </w:r>
      <w:proofErr w:type="gramEnd"/>
    </w:p>
    <w:p w14:paraId="42C1A659" w14:textId="77777777" w:rsidR="004E391A" w:rsidRDefault="00266D33">
      <w:pPr>
        <w:spacing w:line="360" w:lineRule="auto"/>
        <w:rPr>
          <w:rFonts w:ascii="Arial" w:eastAsia="Arial" w:hAnsi="Arial" w:cs="Arial"/>
          <w:i/>
          <w:sz w:val="24"/>
          <w:szCs w:val="24"/>
        </w:rPr>
      </w:pPr>
      <w:proofErr w:type="gramStart"/>
      <w:r>
        <w:rPr>
          <w:rFonts w:ascii="Arial" w:eastAsia="Arial" w:hAnsi="Arial" w:cs="Arial"/>
          <w:i/>
          <w:sz w:val="24"/>
          <w:szCs w:val="24"/>
        </w:rPr>
        <w:lastRenderedPageBreak/>
        <w:t>“..</w:t>
      </w:r>
      <w:proofErr w:type="gramEnd"/>
      <w:r>
        <w:rPr>
          <w:rFonts w:ascii="Arial" w:eastAsia="Arial" w:hAnsi="Arial" w:cs="Arial"/>
          <w:i/>
          <w:sz w:val="24"/>
          <w:szCs w:val="24"/>
        </w:rPr>
        <w:t>I appeal to government to “show us the support through Actions not Speeches”</w:t>
      </w:r>
    </w:p>
    <w:p w14:paraId="42C1A65A" w14:textId="77777777" w:rsidR="004E391A" w:rsidRDefault="00266D3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6- Notes from the speakers’ talk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42C1A65B" w14:textId="77777777" w:rsidR="004E391A" w:rsidRDefault="00266D3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Session 1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: </w:t>
      </w:r>
    </w:p>
    <w:p w14:paraId="42C1A65C" w14:textId="77777777" w:rsidR="004E391A" w:rsidRDefault="0026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ned by Indigenous Anishinaabe representation singing the indigenous water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song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2C1A65D" w14:textId="77777777" w:rsidR="004E391A" w:rsidRDefault="0026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Inequalities between and outside the states are growing. The Secretary general has called for renewed social contact and anchor rights. Meaning people need to be placed in the </w:t>
      </w:r>
      <w:r>
        <w:rPr>
          <w:rFonts w:ascii="Arial" w:eastAsia="Arial" w:hAnsi="Arial" w:cs="Arial"/>
          <w:sz w:val="24"/>
          <w:szCs w:val="24"/>
        </w:rPr>
        <w:t>centre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of the design and implementation of plans. Economics and governance need to be taken into consideration. </w:t>
      </w:r>
    </w:p>
    <w:p w14:paraId="42C1A65E" w14:textId="77777777" w:rsidR="004E391A" w:rsidRDefault="0026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High commission on human rights has been calling for the service of human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rights</w:t>
      </w:r>
      <w:proofErr w:type="gramEnd"/>
    </w:p>
    <w:p w14:paraId="42C1A65F" w14:textId="77777777" w:rsidR="004E391A" w:rsidRDefault="0026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Speakers from Africa, Mexico, Bolivia, Columbia, Uganda and Slovenia gave their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statements</w:t>
      </w:r>
      <w:proofErr w:type="gramEnd"/>
    </w:p>
    <w:p w14:paraId="42C1A660" w14:textId="77777777" w:rsidR="004E391A" w:rsidRDefault="00266D3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Session 2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: identifying current solutions: upscaling positive solutions for clear bold commitment in the water action agenda. </w:t>
      </w:r>
    </w:p>
    <w:p w14:paraId="42C1A661" w14:textId="77777777" w:rsidR="004E391A" w:rsidRDefault="00266D3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Changing the ways we communicate in the UN system, more representation.</w:t>
      </w:r>
    </w:p>
    <w:p w14:paraId="42C1A662" w14:textId="77777777" w:rsidR="004E391A" w:rsidRDefault="00266D3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The use of analytical tools such as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score-cards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to assess legislati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ve gaps and disparities for vulnerable groups (individuals who have difficulties in exercising their rights to drinking water and sanitation). </w:t>
      </w:r>
    </w:p>
    <w:p w14:paraId="42C1A663" w14:textId="77777777" w:rsidR="004E391A" w:rsidRDefault="00266D3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Private sector should engage in conversations with indigenous communities about solutions to water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challenges</w:t>
      </w:r>
      <w:proofErr w:type="gramEnd"/>
    </w:p>
    <w:p w14:paraId="42C1A664" w14:textId="77777777" w:rsidR="004E391A" w:rsidRDefault="00266D3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Th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e UN and governments should support management methods beyond the public-private sector debate: management by organised communities in rural, peri-urban areas that are based on solidarity and not commercialization or economic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benefit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42C1A665" w14:textId="77777777" w:rsidR="004E391A" w:rsidRDefault="00266D3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Communities call for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sanctions for companies that go against the right of indigenous peoples due to their unlawful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activities</w:t>
      </w:r>
      <w:proofErr w:type="gramEnd"/>
    </w:p>
    <w:p w14:paraId="42C1A666" w14:textId="77777777" w:rsidR="004E391A" w:rsidRDefault="00266D3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Session 3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: examples of good practices in reducing inequalities and implementing human rights. </w:t>
      </w:r>
    </w:p>
    <w:p w14:paraId="42C1A667" w14:textId="77777777" w:rsidR="004E391A" w:rsidRDefault="00266D3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Inequality cuts across different services and should be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put at the top of administration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agenda;</w:t>
      </w:r>
      <w:proofErr w:type="gramEnd"/>
    </w:p>
    <w:p w14:paraId="42C1A668" w14:textId="77777777" w:rsidR="004E391A" w:rsidRDefault="00266D3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Water governance initiative at OECD advises governments to offer:</w:t>
      </w:r>
    </w:p>
    <w:p w14:paraId="42C1A669" w14:textId="77777777" w:rsidR="004E391A" w:rsidRDefault="00266D33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Clarity on how inputs from consultations are being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used</w:t>
      </w:r>
      <w:proofErr w:type="gramEnd"/>
    </w:p>
    <w:p w14:paraId="42C1A66A" w14:textId="77777777" w:rsidR="004E391A" w:rsidRDefault="00266D33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Representation of different stakeholders</w:t>
      </w:r>
    </w:p>
    <w:p w14:paraId="42C1A66B" w14:textId="77777777" w:rsidR="004E391A" w:rsidRDefault="00266D33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Different level of engagements, doesn’t always mean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co-deciding with different groups, it can be building trust, facilitating the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discussion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42C1A66C" w14:textId="77777777" w:rsidR="004E391A" w:rsidRDefault="00266D3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Unesco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world water assessment programs - engaged in conversation with local people to discuss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on  methodologies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on reporting - (toolbox developed with indicators, including questionnaires for practitioners to analyse)</w:t>
      </w:r>
    </w:p>
    <w:p w14:paraId="42C1A66D" w14:textId="77777777" w:rsidR="004E391A" w:rsidRDefault="00266D3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Call for meaningful engagement of the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youth, no to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tokenism</w:t>
      </w:r>
      <w:proofErr w:type="gramEnd"/>
    </w:p>
    <w:p w14:paraId="42C1A66E" w14:textId="77777777" w:rsidR="004E391A" w:rsidRDefault="00266D3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Promoting holistic approach in partnerships for implementation and scaling</w:t>
      </w:r>
    </w:p>
    <w:p w14:paraId="42C1A66F" w14:textId="77777777" w:rsidR="004E391A" w:rsidRDefault="00266D3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Session 4: </w:t>
      </w:r>
    </w:p>
    <w:p w14:paraId="42C1A670" w14:textId="77777777" w:rsidR="004E391A" w:rsidRDefault="00266D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Session 4 focused on How cooperation enables gaps and reduces inequalities, and what new is needed for the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cooperation</w:t>
      </w:r>
      <w:proofErr w:type="gramEnd"/>
    </w:p>
    <w:p w14:paraId="42C1A671" w14:textId="77777777" w:rsidR="004E391A" w:rsidRDefault="00266D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 special rapporteur on dri</w:t>
      </w:r>
      <w:r>
        <w:rPr>
          <w:rFonts w:ascii="Arial" w:eastAsia="Arial" w:hAnsi="Arial" w:cs="Arial"/>
          <w:color w:val="000000"/>
          <w:sz w:val="24"/>
          <w:szCs w:val="24"/>
        </w:rPr>
        <w:t>nking water reports Gender inequalities, decision-making inequalities, and power distribution inequalities exist. If we have not resolved the issue of inequalities the water actions will not take place. Self-government over territories for indigenous peopl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needs to be at the </w:t>
      </w:r>
      <w:r>
        <w:rPr>
          <w:rFonts w:ascii="Arial" w:eastAsia="Arial" w:hAnsi="Arial" w:cs="Arial"/>
          <w:sz w:val="24"/>
          <w:szCs w:val="24"/>
        </w:rPr>
        <w:t>forefront of the agenda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2C1A672" w14:textId="77777777" w:rsidR="004E391A" w:rsidRDefault="00266D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Reps from Salvador, the Philippines, Portugal, Malawi, and The Netherlands presented their approaches to partnership growth.</w:t>
      </w:r>
    </w:p>
    <w:p w14:paraId="42C1A673" w14:textId="77777777" w:rsidR="004E391A" w:rsidRDefault="00266D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 agreed on a requirement for a holistic approach to solving indigenous and climate challenges.</w:t>
      </w:r>
    </w:p>
    <w:p w14:paraId="42C1A674" w14:textId="77777777" w:rsidR="004E391A" w:rsidRDefault="00266D3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7- Relevant stakeholders and organisations present or mentioned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42C1A675" w14:textId="77777777" w:rsidR="004E391A" w:rsidRDefault="0026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Organisers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Women for Water Partnership,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AquaFed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FILAC, African Youth Parliament for Water, UN OHCHR, UN Special Rapporteur on the human rights to water and sanitation, International Indian Treaty Council, representing the Indigenous Peoples Coalition</w:t>
      </w:r>
    </w:p>
    <w:p w14:paraId="42C1A676" w14:textId="77777777" w:rsidR="004E391A" w:rsidRDefault="0026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Panellists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</w:t>
      </w:r>
      <w:r>
        <w:rPr>
          <w:rFonts w:ascii="Arial" w:eastAsia="Arial" w:hAnsi="Arial" w:cs="Arial"/>
          <w:color w:val="000000"/>
          <w:sz w:val="24"/>
          <w:szCs w:val="24"/>
        </w:rPr>
        <w:t>rst nations Canada, Blue planet project, European Union, OECD, Ending poverty,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People’s Water Forum, UNESCO- WWAP, World Youth</w:t>
      </w:r>
    </w:p>
    <w:p w14:paraId="42C1A677" w14:textId="77777777" w:rsidR="004E391A" w:rsidRDefault="00266D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Parliament for Water, Coordination of Indigenous Peoples of Central America</w:t>
      </w:r>
    </w:p>
    <w:p w14:paraId="42C1A678" w14:textId="77777777" w:rsidR="004E391A" w:rsidRPr="00266D33" w:rsidRDefault="0026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266D33">
        <w:rPr>
          <w:rFonts w:ascii="Arial" w:eastAsia="Arial" w:hAnsi="Arial" w:cs="Arial"/>
          <w:color w:val="000000"/>
          <w:sz w:val="24"/>
          <w:szCs w:val="24"/>
          <w:lang w:val="it-IT"/>
        </w:rPr>
        <w:lastRenderedPageBreak/>
        <w:t>Member states: Bolivia, Colombia, Slovenia, Portugal,</w:t>
      </w:r>
      <w:r w:rsidRPr="00266D33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Malawi, Netherlands, Korea,</w:t>
      </w:r>
    </w:p>
    <w:p w14:paraId="42C1A679" w14:textId="77777777" w:rsidR="004E391A" w:rsidRDefault="00266D33">
      <w:pPr>
        <w:spacing w:line="257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8- Innovative ideas and/or approaches from the session </w:t>
      </w:r>
    </w:p>
    <w:p w14:paraId="42C1A67A" w14:textId="77777777" w:rsidR="004E391A" w:rsidRDefault="0026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Both scientific and indigenous knowledge are key to solving water and sanitation challenges; indigenous knowledge is important and does not need to be validated </w:t>
      </w:r>
      <w:r>
        <w:rPr>
          <w:rFonts w:ascii="Arial" w:eastAsia="Arial" w:hAnsi="Arial" w:cs="Arial"/>
          <w:color w:val="222222"/>
          <w:sz w:val="24"/>
          <w:szCs w:val="24"/>
        </w:rPr>
        <w:t>by the scientific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community. </w:t>
      </w:r>
    </w:p>
    <w:p w14:paraId="42C1A67B" w14:textId="77777777" w:rsidR="004E391A" w:rsidRDefault="00266D33">
      <w:pPr>
        <w:spacing w:line="257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9- How do the session outcomes impact the Water Action Agenda? Ho</w:t>
      </w:r>
      <w:r>
        <w:rPr>
          <w:rFonts w:ascii="Arial" w:eastAsia="Arial" w:hAnsi="Arial" w:cs="Arial"/>
          <w:b/>
          <w:color w:val="222222"/>
          <w:sz w:val="24"/>
          <w:szCs w:val="24"/>
        </w:rPr>
        <w:t>w to translate the discussion into commitments and actions?</w:t>
      </w:r>
    </w:p>
    <w:p w14:paraId="42C1A67C" w14:textId="77777777" w:rsidR="004E391A" w:rsidRDefault="00266D33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The OECD water governance initiative is a good example of governments empowerment to impact on the Water Action Agenda. The reference to scorecards for assessments of inequalities to be adopted by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different countries was also a concrete action towards the water action agenda.</w:t>
      </w:r>
    </w:p>
    <w:p w14:paraId="42C1A67D" w14:textId="77777777" w:rsidR="004E391A" w:rsidRDefault="00266D33">
      <w:pPr>
        <w:spacing w:line="257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11- How does this session relate water to other SDGs?</w:t>
      </w:r>
    </w:p>
    <w:p w14:paraId="42C1A67E" w14:textId="77777777" w:rsidR="004E391A" w:rsidRDefault="00266D33">
      <w:pPr>
        <w:spacing w:line="257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Reducing inequalities SDG 10, SDG 1, end of poverty</w:t>
      </w:r>
    </w:p>
    <w:p w14:paraId="42C1A67F" w14:textId="77777777" w:rsidR="004E391A" w:rsidRDefault="00266D33">
      <w:pPr>
        <w:spacing w:line="257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Partnerships SDG 17</w:t>
      </w:r>
    </w:p>
    <w:p w14:paraId="42C1A680" w14:textId="77777777" w:rsidR="004E391A" w:rsidRDefault="004E391A">
      <w:pPr>
        <w:spacing w:line="257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42C1A681" w14:textId="77777777" w:rsidR="004E391A" w:rsidRDefault="00266D33">
      <w:pPr>
        <w:spacing w:line="257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12- Short personal analysis of the session.</w:t>
      </w:r>
    </w:p>
    <w:p w14:paraId="42C1A682" w14:textId="77777777" w:rsidR="004E391A" w:rsidRDefault="00266D33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Alth</w:t>
      </w:r>
      <w:r>
        <w:rPr>
          <w:rFonts w:ascii="Arial" w:eastAsia="Arial" w:hAnsi="Arial" w:cs="Arial"/>
          <w:color w:val="222222"/>
          <w:sz w:val="24"/>
          <w:szCs w:val="24"/>
        </w:rPr>
        <w:t>ough there were some success stories about data collection and monitoring tools, the session remained poor in commitments and actions. Local communities and indigenous people called for people-oriented solutions versus privatisation and commercialization i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n reducing inequalities. It was clear that more discussions and accountability mechanisms are needed between the private sector and local communities.  </w:t>
      </w:r>
    </w:p>
    <w:p w14:paraId="42C1A683" w14:textId="77777777" w:rsidR="004E391A" w:rsidRDefault="004E391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sectPr w:rsidR="004E391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A68A" w14:textId="77777777" w:rsidR="00266D33" w:rsidRDefault="00266D33">
      <w:pPr>
        <w:spacing w:after="0" w:line="240" w:lineRule="auto"/>
      </w:pPr>
      <w:r>
        <w:separator/>
      </w:r>
    </w:p>
  </w:endnote>
  <w:endnote w:type="continuationSeparator" w:id="0">
    <w:p w14:paraId="42C1A68C" w14:textId="77777777" w:rsidR="00266D33" w:rsidRDefault="002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A685" w14:textId="024F7D86" w:rsidR="004E391A" w:rsidRDefault="00266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A686" w14:textId="77777777" w:rsidR="00266D33" w:rsidRDefault="00266D33">
      <w:pPr>
        <w:spacing w:after="0" w:line="240" w:lineRule="auto"/>
      </w:pPr>
      <w:r>
        <w:separator/>
      </w:r>
    </w:p>
  </w:footnote>
  <w:footnote w:type="continuationSeparator" w:id="0">
    <w:p w14:paraId="42C1A688" w14:textId="77777777" w:rsidR="00266D33" w:rsidRDefault="0026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A684" w14:textId="77777777" w:rsidR="004E391A" w:rsidRDefault="00266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2C1A686" wp14:editId="42C1A687">
          <wp:extent cx="5731510" cy="1022350"/>
          <wp:effectExtent l="0" t="0" r="0" b="0"/>
          <wp:docPr id="12" name="image1.png" descr="Company nam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mpany nam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022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FD9"/>
    <w:multiLevelType w:val="multilevel"/>
    <w:tmpl w:val="59E070C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C7F52"/>
    <w:multiLevelType w:val="multilevel"/>
    <w:tmpl w:val="7A7A1ED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113D82"/>
    <w:multiLevelType w:val="multilevel"/>
    <w:tmpl w:val="B8E22FCE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5D46"/>
    <w:multiLevelType w:val="multilevel"/>
    <w:tmpl w:val="FEEC5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693EE8"/>
    <w:multiLevelType w:val="multilevel"/>
    <w:tmpl w:val="219473B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34772B"/>
    <w:multiLevelType w:val="multilevel"/>
    <w:tmpl w:val="E316455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1241871">
    <w:abstractNumId w:val="2"/>
  </w:num>
  <w:num w:numId="2" w16cid:durableId="684746254">
    <w:abstractNumId w:val="1"/>
  </w:num>
  <w:num w:numId="3" w16cid:durableId="960380933">
    <w:abstractNumId w:val="5"/>
  </w:num>
  <w:num w:numId="4" w16cid:durableId="1457796131">
    <w:abstractNumId w:val="0"/>
  </w:num>
  <w:num w:numId="5" w16cid:durableId="986978717">
    <w:abstractNumId w:val="4"/>
  </w:num>
  <w:num w:numId="6" w16cid:durableId="1691297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1A"/>
    <w:rsid w:val="00266D33"/>
    <w:rsid w:val="004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A634"/>
  <w15:docId w15:val="{A3D2C62F-FDDC-49C1-8E49-D3E872C8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005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E3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98F"/>
  </w:style>
  <w:style w:type="paragraph" w:styleId="Footer">
    <w:name w:val="footer"/>
    <w:basedOn w:val="Normal"/>
    <w:link w:val="FooterChar"/>
    <w:uiPriority w:val="99"/>
    <w:unhideWhenUsed/>
    <w:rsid w:val="00E3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98F"/>
  </w:style>
  <w:style w:type="character" w:styleId="Hyperlink">
    <w:name w:val="Hyperlink"/>
    <w:uiPriority w:val="99"/>
    <w:rsid w:val="00E3298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005E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0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1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C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D67BA"/>
    <w:pPr>
      <w:ind w:left="720"/>
      <w:contextualSpacing/>
    </w:pPr>
  </w:style>
  <w:style w:type="paragraph" w:styleId="NoSpacing">
    <w:name w:val="No Spacing"/>
    <w:uiPriority w:val="1"/>
    <w:qFormat/>
    <w:rsid w:val="00C2759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6D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info-right">
    <w:name w:val="list-info-right"/>
    <w:basedOn w:val="Normal"/>
    <w:rsid w:val="007B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6DB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91450D3A54E449B17F06F00BBFC26" ma:contentTypeVersion="14" ma:contentTypeDescription="Create a new document." ma:contentTypeScope="" ma:versionID="63b64455d52414fc7cdde17a27f7411b">
  <xsd:schema xmlns:xsd="http://www.w3.org/2001/XMLSchema" xmlns:xs="http://www.w3.org/2001/XMLSchema" xmlns:p="http://schemas.microsoft.com/office/2006/metadata/properties" xmlns:ns2="6966578c-ea72-49e5-aa66-6d4ae96e6dd5" xmlns:ns3="54ea8263-bce7-404c-a564-9d931621a869" targetNamespace="http://schemas.microsoft.com/office/2006/metadata/properties" ma:root="true" ma:fieldsID="384679c140d90a05aa5826ffc5d30628" ns2:_="" ns3:_="">
    <xsd:import namespace="6966578c-ea72-49e5-aa66-6d4ae96e6dd5"/>
    <xsd:import namespace="54ea8263-bce7-404c-a564-9d931621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6578c-ea72-49e5-aa66-6d4ae96e6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be15a9-36f8-4b2b-b671-10b48e7e1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a8263-bce7-404c-a564-9d931621a8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f399c1-e6aa-471b-9b38-d14088aa7905}" ma:internalName="TaxCatchAll" ma:showField="CatchAllData" ma:web="54ea8263-bce7-404c-a564-9d931621a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bWKR6JmX3unnvJpRiVcLfijNQg==">AMUW2mX60LM7mTi4FpE/psKgnQjZ9OHHyRIWazcUiEmmDKHJ09Qp7WOy5sFBWQ2djK/L5tu1/Q4iIqNRS2UGWBWk7AE/zjIzq1uGxGGtEtgJP3sZMr8K72iWPnP/mss/aIAHHv9b4YBiwmBmfpbLHSWrV1HKTaQ94g==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a8263-bce7-404c-a564-9d931621a869" xsi:nil="true"/>
    <lcf76f155ced4ddcb4097134ff3c332f xmlns="6966578c-ea72-49e5-aa66-6d4ae96e6dd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FCA77-D415-49B2-B258-A5AB8623C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6578c-ea72-49e5-aa66-6d4ae96e6dd5"/>
    <ds:schemaRef ds:uri="54ea8263-bce7-404c-a564-9d931621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4D0E735D-8F30-4EBA-962E-46D52C234C3F}">
  <ds:schemaRefs>
    <ds:schemaRef ds:uri="54ea8263-bce7-404c-a564-9d931621a86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6966578c-ea72-49e5-aa66-6d4ae96e6dd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B6BECF-0A59-4121-9A1D-1274B3376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Guida</dc:creator>
  <cp:lastModifiedBy>Benedetta Sala</cp:lastModifiedBy>
  <cp:revision>2</cp:revision>
  <dcterms:created xsi:type="dcterms:W3CDTF">2023-08-11T10:18:00Z</dcterms:created>
  <dcterms:modified xsi:type="dcterms:W3CDTF">2023-08-11T10:18:00Z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0x01010084D91450D3A54E449B17F06F00BBFC26</vt:lpwstr>
  </property>
  <property fmtid="{D5CDD505-2E9C-101B-9397-08002B2CF9AE}" pid="3" name="Order">
    <vt:r8>3485000</vt:r8>
  </property>
  <property fmtid="{D5CDD505-2E9C-101B-9397-08002B2CF9AE}" pid="4" name="GrammarlyDocumentId">
    <vt:lpwstr>f2a83469081a9b417a2be1158b1a8c47b28d557240c26dafe02d057d23d9f284</vt:lpwstr>
  </property>
  <property fmtid="{D5CDD505-2E9C-101B-9397-08002B2CF9AE}" pid="5" name="MSIP_Label_ae29e37d-a8a4-4222-a804-8a2bb3536c03_Enabled">
    <vt:lpwstr>true</vt:lpwstr>
  </property>
  <property fmtid="{D5CDD505-2E9C-101B-9397-08002B2CF9AE}" pid="6" name="MSIP_Label_ae29e37d-a8a4-4222-a804-8a2bb3536c03_SetDate">
    <vt:lpwstr>2023-03-31T21:12:45Z</vt:lpwstr>
  </property>
  <property fmtid="{D5CDD505-2E9C-101B-9397-08002B2CF9AE}" pid="7" name="MSIP_Label_ae29e37d-a8a4-4222-a804-8a2bb3536c03_Method">
    <vt:lpwstr>Standard</vt:lpwstr>
  </property>
  <property fmtid="{D5CDD505-2E9C-101B-9397-08002B2CF9AE}" pid="8" name="MSIP_Label_ae29e37d-a8a4-4222-a804-8a2bb3536c03_Name">
    <vt:lpwstr>General (Default)</vt:lpwstr>
  </property>
  <property fmtid="{D5CDD505-2E9C-101B-9397-08002B2CF9AE}" pid="9" name="MSIP_Label_ae29e37d-a8a4-4222-a804-8a2bb3536c03_SiteId">
    <vt:lpwstr>cb2bab3d-7d90-44ea-9e31-531011b1213d</vt:lpwstr>
  </property>
  <property fmtid="{D5CDD505-2E9C-101B-9397-08002B2CF9AE}" pid="10" name="MSIP_Label_ae29e37d-a8a4-4222-a804-8a2bb3536c03_ActionId">
    <vt:lpwstr>40cbeb53-4e54-437c-b880-2cbf94293cb8</vt:lpwstr>
  </property>
  <property fmtid="{D5CDD505-2E9C-101B-9397-08002B2CF9AE}" pid="11" name="MSIP_Label_ae29e37d-a8a4-4222-a804-8a2bb3536c03_ContentBits">
    <vt:lpwstr>0</vt:lpwstr>
  </property>
</Properties>
</file>